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Comfortaa" w:cs="Comfortaa" w:eastAsia="Comfortaa" w:hAnsi="Comfortaa"/>
          <w:b w:val="1"/>
          <w:sz w:val="32"/>
          <w:szCs w:val="32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32"/>
          <w:szCs w:val="32"/>
          <w:u w:val="single"/>
          <w:rtl w:val="0"/>
        </w:rPr>
        <w:t xml:space="preserve">Literacy Units - 3rd Grade</w:t>
      </w:r>
    </w:p>
    <w:p w:rsidR="00000000" w:rsidDel="00000000" w:rsidP="00000000" w:rsidRDefault="00000000" w:rsidRPr="00000000" w14:paraId="00000002">
      <w:pPr>
        <w:rPr>
          <w:rFonts w:ascii="Comfortaa" w:cs="Comfortaa" w:eastAsia="Comfortaa" w:hAnsi="Comfortaa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5.0" w:type="dxa"/>
        <w:jc w:val="left"/>
        <w:tblInd w:w="-5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4215"/>
        <w:gridCol w:w="4425"/>
        <w:tblGridChange w:id="0">
          <w:tblGrid>
            <w:gridCol w:w="1965"/>
            <w:gridCol w:w="4215"/>
            <w:gridCol w:w="44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u w:val="single"/>
                <w:rtl w:val="0"/>
              </w:rPr>
              <w:t xml:space="preserve">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u w:val="single"/>
                <w:rtl w:val="0"/>
              </w:rPr>
              <w:t xml:space="preserve">Big Idea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u w:val="single"/>
                <w:rtl w:val="0"/>
              </w:rPr>
              <w:t xml:space="preserve">Skills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Unit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How can learning help us grow?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Character Traits, Plot: Sequence, Text Structure: Sequence, Cause &amp; Effect, Main Idea &amp; Key Details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Unit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What does it take to solve a problem?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Theme, Point of View, Author’s Point of View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Unit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Why are individual qualities important?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Problem &amp; Solution, Cause &amp; Effect,  Main Idea &amp; Key Details, Text Structure: Sequence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Unit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What are different ways to meet challenges?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Point of View, Compare &amp; Contrast, Cause &amp; Effect, Theme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Unit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What are ways people can take action?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Point of View, Author’s Point of View, Cause &amp; Effect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Unit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How do we decide what’s important?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Theme, Problem &amp; Solution, Compare &amp; Contrast, Point of View</w:t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