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8"/>
          <w:szCs w:val="38"/>
          <w:u w:val="single"/>
          <w:rtl w:val="0"/>
        </w:rPr>
        <w:t xml:space="preserve">Literacy Units - First Grade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8.258373205742"/>
        <w:gridCol w:w="3770.8708133971295"/>
        <w:gridCol w:w="3770.8708133971295"/>
        <w:tblGridChange w:id="0">
          <w:tblGrid>
            <w:gridCol w:w="1818.258373205742"/>
            <w:gridCol w:w="3770.8708133971295"/>
            <w:gridCol w:w="3770.8708133971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Big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makes you special?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Main Idea and Key Details, Visualize, Ask &amp; Answer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makes a community?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Character, Setting, &amp; Plot; Make, Confirm, &amp; Revise Predictions; Reread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can happen over 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Character, Setting, &amp; Plot; Make, Confirm, &amp; Revise Predictions; Compare &amp; Contrast; Reread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animals do you know about and what are they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Sequence; Ask &amp; Answer Questions; Main Idea and Key Details; Point of View; Visualize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can we make sense of the world around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Point of View; Make, Confirm, &amp; Revise Predictions; Cause &amp; Effect; Problem &amp; Solution; Ask &amp; Answer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does teamwork help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Theme; Reread, Author’s purpose; Cause &amp; Effect; Visualize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